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 w:eastAsia="Aptos Display"/>
          <w:b/>
          <w:color w:val="1F4E5F"/>
          <w:sz w:val="50"/>
        </w:rPr>
        <w:t>SABAI 2036 — Thailand as ASEAN's Trusted Infrastructure Hub</w:t>
      </w:r>
    </w:p>
    <w:p>
      <w:pPr>
        <w:jc w:val="center"/>
      </w:pPr>
      <w:r>
        <w:rPr>
          <w:color w:val="2B6777"/>
          <w:sz w:val="26"/>
        </w:rPr>
        <w:t>Neutralité active. Données souveraines. Industrie propre. Croissance partagée.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DOCTRINE PUBLIQUE — </w:t>
            </w:r>
            <w:r>
              <w:t>La Thaïlande construit l'infrastructure de confiance dont tous les partenaires ont besoin. Notre avantage est productif, numérique, agricole, énergétique, culturel et diplomatique — pas militaire.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345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Livrable</w:t>
            </w:r>
          </w:p>
        </w:tc>
        <w:tc>
          <w:tcPr>
            <w:tcW w:type="dxa" w:w="748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Statut public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Dossier complet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32 pages, sources publiques, chiffres corrigés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Note exécutive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4 pages, décision de Cabinet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Présentation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22 diapositives, version partageable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Audit et feuille de route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XLSX avec claims, KPI, risques, sources</w:t>
            </w:r>
          </w:p>
        </w:tc>
      </w:tr>
    </w:tbl>
    <w:p>
      <w:pPr>
        <w:spacing w:after="40"/>
      </w:pPr>
    </w:p>
    <w:p>
      <w:pPr>
        <w:jc w:val="center"/>
      </w:pPr>
      <w:r>
        <w:t>Ce document s'appuie sur des recherches vérifiées par audits indépendants et des sources publiques documentées en annexe.</w:t>
      </w:r>
      <w:r>
        <w:rPr>
          <w:color w:val="2B6777"/>
          <w:sz w:val="14"/>
          <w:vertAlign w:val="superscript"/>
        </w:rPr>
        <w:t xml:space="preserve"> [S01, S34]</w:t>
      </w:r>
    </w:p>
    <w:p>
      <w:r>
        <w:br w:type="page"/>
      </w:r>
    </w:p>
    <w:p>
      <w:pPr>
        <w:pStyle w:val="Heading1"/>
      </w:pPr>
      <w:r>
        <w:t>01 — Synthèse exécutive</w:t>
      </w:r>
      <w:r>
        <w:rPr>
          <w:color w:val="2B6777"/>
          <w:sz w:val="14"/>
          <w:vertAlign w:val="superscript"/>
        </w:rPr>
        <w:t xml:space="preserve"> [S03, S04, S06, S13, S34]</w:t>
      </w:r>
    </w:p>
    <w:p>
      <w:r>
        <w:t>SABAI 2036 transforme une ambition de rupture en programme public vérifiable: productivité, résilience et souveraineté, sans rhétorique de confrontation. Le pays ne cherche pas à devenir une puissance militaire; il cherche à devenir l'infrastructure de confiance d'une croissance partagée.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16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Décision</w:t>
            </w:r>
          </w:p>
        </w:tc>
        <w:tc>
          <w:tcPr>
            <w:tcW w:type="dxa" w:w="87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Formulation publique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Les 15 lacunes, l'horizon 2036, les pilotes et la centralité ASEAN.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Les bases chiffrées, les cibles sans base 2026, les statuts d'investissement et les emplois directs.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Un registre des projets qui distingue annoncé, demande BOI, approuvé, dépensé, construit et opérationnel.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Protéger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 souveraines, eau, énergie, compétences, fiscalité et confiance institutionnelle.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Porter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Une neutralité active: standards ouverts, interopérabilité, non-ingérence, opt-in régional.</w:t>
            </w:r>
          </w:p>
        </w:tc>
      </w:tr>
    </w:tbl>
    <w:p>
      <w:pPr>
        <w:spacing w:after="40"/>
      </w:pPr>
    </w:p>
    <w:p>
      <w:pPr>
        <w:pStyle w:val="ListBullet"/>
        <w:spacing w:after="40"/>
      </w:pPr>
      <w:r>
        <w:t>Six missions remplacent une liste de slogans: capital humain, données, énergie/eau, PME-industrie-agriculture, santé/tourisme/logistique, transparence/fiscalité/diplomatie.</w:t>
      </w:r>
    </w:p>
    <w:p>
      <w:pPr>
        <w:pStyle w:val="ListBullet"/>
        <w:spacing w:after="40"/>
      </w:pPr>
      <w:r>
        <w:t>Chaque chiffre publié reçoit un statut: fait, estimation, cible ou opinion de politique publique.</w:t>
      </w:r>
    </w:p>
    <w:p>
      <w:pPr>
        <w:pStyle w:val="ListBullet"/>
        <w:spacing w:after="40"/>
      </w:pPr>
      <w:r>
        <w:t>Toute extension au-delà d'un pilote dépend d'un tableau de bord public et d'une évaluation indépendante.</w:t>
      </w:r>
    </w:p>
    <w:p>
      <w:r>
        <w:br w:type="page"/>
      </w:r>
    </w:p>
    <w:p>
      <w:pPr>
        <w:pStyle w:val="Heading1"/>
      </w:pPr>
      <w:r>
        <w:t>02 — Méthode publique et règles de preuve</w:t>
      </w:r>
      <w:r>
        <w:rPr>
          <w:color w:val="2B6777"/>
          <w:sz w:val="14"/>
          <w:vertAlign w:val="superscript"/>
        </w:rPr>
        <w:t xml:space="preserve"> [S01, S34]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TRAÇABILITÉ — </w:t>
            </w:r>
            <w:r>
              <w:t>Ce document s'appuie sur des recherches vérifiées par audits indépendants et des sources publiques documentées en annexe.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3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Règle</w:t>
            </w:r>
          </w:p>
        </w:tc>
        <w:tc>
          <w:tcPr>
            <w:tcW w:type="dxa" w:w="86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Application</w:t>
            </w:r>
          </w:p>
        </w:tc>
      </w:tr>
      <w:tr>
        <w:trPr>
          <w:cantSplit/>
        </w:trPr>
        <w:tc>
          <w:tcPr>
            <w:tcW w:type="dxa" w:w="23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86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Source publique récente, définition claire, année et périmètre.</w:t>
            </w:r>
          </w:p>
        </w:tc>
      </w:tr>
      <w:tr>
        <w:trPr>
          <w:cantSplit/>
        </w:trPr>
        <w:tc>
          <w:tcPr>
            <w:tcW w:type="dxa" w:w="23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Estimation</w:t>
            </w:r>
          </w:p>
        </w:tc>
        <w:tc>
          <w:tcPr>
            <w:tcW w:type="dxa" w:w="86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Fourchette prudente, hypothèses explicites et besoin de validation.</w:t>
            </w:r>
          </w:p>
        </w:tc>
      </w:tr>
      <w:tr>
        <w:trPr>
          <w:cantSplit/>
        </w:trPr>
        <w:tc>
          <w:tcPr>
            <w:tcW w:type="dxa" w:w="23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Cible</w:t>
            </w:r>
          </w:p>
        </w:tc>
        <w:tc>
          <w:tcPr>
            <w:tcW w:type="dxa" w:w="86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Objectif politique associé à un propriétaire, une base et un calendrier.</w:t>
            </w:r>
          </w:p>
        </w:tc>
      </w:tr>
      <w:tr>
        <w:trPr>
          <w:cantSplit/>
        </w:trPr>
        <w:tc>
          <w:tcPr>
            <w:tcW w:type="dxa" w:w="23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Opinion</w:t>
            </w:r>
          </w:p>
        </w:tc>
        <w:tc>
          <w:tcPr>
            <w:tcW w:type="dxa" w:w="86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Choix stratégique assumé, séparé des chiffres.</w:t>
            </w:r>
          </w:p>
        </w:tc>
      </w:tr>
      <w:tr>
        <w:trPr>
          <w:cantSplit/>
        </w:trPr>
        <w:tc>
          <w:tcPr>
            <w:tcW w:type="dxa" w:w="23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Fail closed</w:t>
            </w:r>
          </w:p>
        </w:tc>
        <w:tc>
          <w:tcPr>
            <w:tcW w:type="dxa" w:w="86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Tout élément interne, sensible, ambigu ou non confirmé sort de la version publique.</w:t>
            </w:r>
          </w:p>
        </w:tc>
      </w:tr>
    </w:tbl>
    <w:p>
      <w:pPr>
        <w:spacing w:after="40"/>
      </w:pPr>
    </w:p>
    <w:p>
      <w:pPr>
        <w:pStyle w:val="ListBullet"/>
        <w:spacing w:after="40"/>
      </w:pPr>
      <w:r>
        <w:t>Aucun chiffre n'est additionné s'il ne partage pas le même statut d'investissement.</w:t>
      </w:r>
    </w:p>
    <w:p>
      <w:pPr>
        <w:pStyle w:val="ListBullet"/>
        <w:spacing w:after="40"/>
      </w:pPr>
      <w:r>
        <w:t>Aucun nom d'équipe, d'infrastructure, de personne interne ou de source brute n'est repris dans les livrables publics.</w:t>
      </w:r>
    </w:p>
    <w:p>
      <w:pPr>
        <w:pStyle w:val="ListBullet"/>
        <w:spacing w:after="40"/>
      </w:pPr>
      <w:r>
        <w:t>Les données souveraines se traitent par classification, chiffrement, audit et réversibilité, pas par slogans.</w:t>
      </w:r>
    </w:p>
    <w:p>
      <w:r>
        <w:br w:type="page"/>
      </w:r>
    </w:p>
    <w:p>
      <w:pPr>
        <w:pStyle w:val="Heading1"/>
      </w:pPr>
      <w:r>
        <w:t>03 — Discipline des statuts d'investissement</w:t>
      </w:r>
      <w:r>
        <w:rPr>
          <w:color w:val="2B6777"/>
          <w:sz w:val="14"/>
          <w:vertAlign w:val="superscript"/>
        </w:rPr>
        <w:t xml:space="preserve"> [S06, S13, S14, S15, S16, S17]</w:t>
      </w:r>
    </w:p>
    <w:p>
      <w:r>
        <w:t>La crédibilité publique dépend d'une règle simple: un montant annoncé n'est pas une demande; une demande n'est pas une approbation; une approbation n'est pas une dépense; une dépense n'est pas une capacité opérationnelle.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172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Statut</w:t>
            </w:r>
          </w:p>
        </w:tc>
        <w:tc>
          <w:tcPr>
            <w:tcW w:type="dxa" w:w="46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Définition publique</w:t>
            </w:r>
          </w:p>
        </w:tc>
        <w:tc>
          <w:tcPr>
            <w:tcW w:type="dxa" w:w="46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Exigence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Annoncé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Communication d'intention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Ne pas additionner aux montants approuvés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Demande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Dossier soumis à une autorité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porteur, localisation, puissance, eau, emploi direct estimé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Approuvé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Autorisation ou promotion validée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conditions, jalons, durée et obligations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Dépensé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Capital réellement engagé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Auditer factures, décaissements et contrats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Construit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Actifs installés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Tester conformité eau-énergie-sécurité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Opérationnel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Service en production</w:t>
            </w:r>
          </w:p>
        </w:tc>
        <w:tc>
          <w:tcPr>
            <w:tcW w:type="dxa" w:w="46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Mesurer emplois directs, disponibilité, taxes et impacts locaux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CHOIX DE CABINET — </w:t>
            </w:r>
            <w:r>
              <w:t>Le Public Project Ledger doit être le premier produit visible des cent jours.</w:t>
            </w:r>
          </w:p>
        </w:tc>
      </w:tr>
    </w:tbl>
    <w:p/>
    <w:p>
      <w:r>
        <w:br w:type="page"/>
      </w:r>
    </w:p>
    <w:p>
      <w:pPr>
        <w:pStyle w:val="Heading1"/>
      </w:pPr>
      <w:r>
        <w:t>04 — Tableau de bord de base: chiffres publiables</w:t>
      </w:r>
      <w:r>
        <w:rPr>
          <w:color w:val="2B6777"/>
          <w:sz w:val="14"/>
          <w:vertAlign w:val="superscript"/>
        </w:rPr>
        <w:t xml:space="preserve"> [S03, S05, S06, S13, S14, S17, S28, S29, S33]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Indicateur</w:t>
            </w:r>
          </w:p>
        </w:tc>
        <w:tc>
          <w:tcPr>
            <w:tcW w:type="dxa" w:w="619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Formulation publique</w:t>
            </w:r>
          </w:p>
        </w:tc>
        <w:tc>
          <w:tcPr>
            <w:tcW w:type="dxa" w:w="15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Type</w:t>
            </w:r>
          </w:p>
        </w:tc>
        <w:tc>
          <w:tcPr>
            <w:tcW w:type="dxa" w:w="129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Réf.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Croissance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Thaïlande 2025 autour de 2,4%; Vietnam 2025 à 8,02% officiel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S03, S05, S33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Dette publique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66,66% du PIB fin avril 2026; 99,26% libellée en baht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S06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Data centers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728 milliards THB = demandes BOI 2025; 842 milliards THB = approbation BOI mai 2026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S13, S14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Emploi direct DC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Hyperscale: planification publique à 50–200 emplois directs permanents par campus, hors construction et chaîne d'approvisionnement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Estimation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S17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Fiscalité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 2023: 17%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S28</w:t>
            </w:r>
          </w:p>
        </w:tc>
      </w:tr>
      <w:tr>
        <w:trPr>
          <w:cantSplit/>
        </w:trPr>
        <w:tc>
          <w:tcPr>
            <w:tcW w:type="dxa" w:w="201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e-Service VAT</w:t>
            </w:r>
          </w:p>
        </w:tc>
        <w:tc>
          <w:tcPr>
            <w:tcW w:type="dxa" w:w="619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FY2022 environ 6 Md THB; FY2023 partiel 5,01 Md THB; pas d’extrapolation ultérieure sans source officielle</w:t>
            </w:r>
          </w:p>
        </w:tc>
        <w:tc>
          <w:tcPr>
            <w:tcW w:type="dxa" w:w="15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 limité</w:t>
            </w:r>
          </w:p>
        </w:tc>
        <w:tc>
          <w:tcPr>
            <w:tcW w:type="dxa" w:w="129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S29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LECTURE — </w:t>
            </w:r>
            <w:r>
              <w:t>Le tableau ne remplace pas la statistique officielle: il force la discipline de publication avant décision.</w:t>
            </w:r>
          </w:p>
        </w:tc>
      </w:tr>
    </w:tbl>
    <w:p/>
    <w:p>
      <w:r>
        <w:br w:type="page"/>
      </w:r>
    </w:p>
    <w:p>
      <w:pPr>
        <w:pStyle w:val="Heading1"/>
      </w:pPr>
      <w:r>
        <w:t>05 — Les 15 lacunes 2026→2036, vue d'ensemble I</w:t>
      </w:r>
      <w:r>
        <w:rPr>
          <w:color w:val="2B6777"/>
          <w:sz w:val="14"/>
          <w:vertAlign w:val="superscript"/>
        </w:rPr>
        <w:t xml:space="preserve"> [S01, S03, S08, S10, S18, S21, S23, S24]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6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#</w:t>
            </w:r>
          </w:p>
        </w:tc>
        <w:tc>
          <w:tcPr>
            <w:tcW w:type="dxa" w:w="194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Lacune</w:t>
            </w:r>
          </w:p>
        </w:tc>
        <w:tc>
          <w:tcPr>
            <w:tcW w:type="dxa" w:w="60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Diagnostic public</w:t>
            </w:r>
          </w:p>
        </w:tc>
        <w:tc>
          <w:tcPr>
            <w:tcW w:type="dxa" w:w="28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KPI principal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01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Éducation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Les résultats d'apprentissage restent inférieurs aux moyennes OCDE; le problème public est l'acquisition du socle, pas le classement seul.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Élèves niveau 2+; écarts province/quintile; insertion TVET; coaching enseignant observé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02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Productivité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croissance récente reste inférieure aux économies régionales les plus dynamiques; la diffusion de productivité vers PME et territoires devient prioritaire.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Productivité réelle par heure; salaire médian réel; productivité PME/grandes entreprises; investissement par travailleur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03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Énergie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sécurité d'approvisionnement repose encore fortement sur le gaz et le réseau doit intégrer davantage de charge numérique et d'énergie propre.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 gaz; intensité carbone du kWh; capacité raccordée; stockage; PUE et énergie renouvelable des sites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04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Démographie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vieillissement réduit la marge de croissance et accroît la pression sur compétences, santé et protection sociale.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Ratio dépendance; participation seniors/femmes; formation continue; trajectoire actuarielle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05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Souveraineté numérique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politique cloud est utile, mais doit être complétée par classification, chiffrement, réversibilité et hébergement souverain des données critiques.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Classification; chiffrement côté client; portabilité; localisation des données souveraines; audit PDPA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06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tissu entrepreneurial est massif mais la productivité, le financement et l'accès export restent fragmentés.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 numérisées; marge brute; crédit productif; export direct; adoption IA utile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07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Agriculture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secteur emploie une part élevée de la main-d'oeuvre pour une faible part du PIB: la valeur ajoutée doit remonter vers transformation, qualité et traçabilité.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Valeur ajoutée/hectare; revenus agricoles réels; eau par tonne; part transformée; traçabilité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08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Logistique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position centrale doit se traduire en coûts, délais, douanes et traçabilité mesurables.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Coût logistique/PIB; délais portuaires; dédouanement; taux de conteneurs tracés; fiabilité corridor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05 — Les 15 lacunes 2026→2036, vue d'ensemble II</w:t>
      </w:r>
      <w:r>
        <w:rPr>
          <w:color w:val="2B6777"/>
          <w:sz w:val="14"/>
          <w:vertAlign w:val="superscript"/>
        </w:rPr>
        <w:t xml:space="preserve"> [S12, S25, S26, S27, S28, S30, S31,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6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#</w:t>
            </w:r>
          </w:p>
        </w:tc>
        <w:tc>
          <w:tcPr>
            <w:tcW w:type="dxa" w:w="194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Lacune</w:t>
            </w:r>
          </w:p>
        </w:tc>
        <w:tc>
          <w:tcPr>
            <w:tcW w:type="dxa" w:w="60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Diagnostic public</w:t>
            </w:r>
          </w:p>
        </w:tc>
        <w:tc>
          <w:tcPr>
            <w:tcW w:type="dxa" w:w="28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KPI principal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09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Santé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système combine excellence urbaine et tensions rurales; la télémédecine doit renforcer l'accès sans remplacer les équipes locales.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Médecins/1 000; délai d'accès; télémédecine remboursée; qualité district; satisfaction patient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Eau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Les bassins industriels et urbains exigent une gestion hydrique transparente: le risque est documenté, la causalité doit rester prouvée site par site.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Prélèvements publiés; recyclage; stress bassin; consommation par MW; reforestation et stockage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11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Transparence et intégrité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sujet public est la confiance: marchés, bénéficiaires effectifs, jalons et dépenses doivent être publiés avant extension.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Taux de projets publiés; bénéficiaires effectifs; audit citoyen; délais de publication; CPI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12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Fiscalité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L'assiette fiscale reste limitée par rapport aux besoins d'investissement; l'objectif public est l'élargissement juste, pas une hausse aveugle.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Tax-to-GDP; conformité TVA; fiscalité verte; coût de collecte; dépenses fiscales évaluées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13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Tourisme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volume seul fragilise destinations et marges; l'objectif est valeur, dispersion territoriale et capacité écologique.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Revenu/visiteur; nuits hors pôles; limites sites naturels; emplois formels; satisfaction résidents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14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Industrie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pays est une base manufacturière reconnue; la prochaine étape est la propriété intellectuelle, les composants, l'équipement et la qualité verte.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Contenu local; R&amp;D privée; export composants; emplois techniques; certificats bas carbone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15</w:t>
            </w:r>
          </w:p>
        </w:tc>
        <w:tc>
          <w:tcPr>
            <w:tcW w:type="dxa" w:w="194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Diplomatie économique</w:t>
            </w:r>
          </w:p>
        </w:tc>
        <w:tc>
          <w:tcPr>
            <w:tcW w:type="dxa" w:w="604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levier régional est la neutralité active: standards ouverts, infrastructures fiables et coopération économique opt-in.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Accords opt-in; interopérabilité; projets conjoints; confiance numérique; participation DEFA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06 — Architecture en six piliers</w:t>
      </w:r>
      <w:r>
        <w:rPr>
          <w:color w:val="2B6777"/>
          <w:sz w:val="14"/>
          <w:vertAlign w:val="superscript"/>
        </w:rPr>
        <w:t xml:space="preserve"> [S18, S19, S20,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10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Pilier</w:t>
            </w:r>
          </w:p>
        </w:tc>
        <w:tc>
          <w:tcPr>
            <w:tcW w:type="dxa" w:w="331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Nom</w:t>
            </w:r>
          </w:p>
        </w:tc>
        <w:tc>
          <w:tcPr>
            <w:tcW w:type="dxa" w:w="68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Fonction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A1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Data Sovereignty Act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Classification des données publiques/sensibles/souveraines, exigences de chiffrement, portabilité, réversibilité et audit PDPA.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A2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Capability Covenants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Tout avantage public majeur est conditionné à compétences locales, fournisseurs, énergie/eau, publication et clauses de récupération.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A3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Forge+Education Districts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Districts pilotes où écoles, TVET, ateliers, PME et acheteurs industriels résolvent des problèmes de production réels.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A4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Public Project Ledger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Registre public distinguant annoncé, demande, approuvé, dépensé, construit et opérationnel pour chaque grand projet.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A5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ASEAN Trusted Infrastructure Compact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Cadre opt-in de confiance numérique, logistique, énergie et standards, sans ciblage géopolitique ni arbitrage de conflits.</w:t>
            </w:r>
          </w:p>
        </w:tc>
      </w:tr>
      <w:tr>
        <w:trPr>
          <w:cantSplit/>
        </w:trPr>
        <w:tc>
          <w:tcPr>
            <w:tcW w:type="dxa" w:w="108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A6</w:t>
            </w:r>
          </w:p>
        </w:tc>
        <w:tc>
          <w:tcPr>
            <w:tcW w:type="dxa" w:w="331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National Delivery Unit &amp; 2036 Dashboard</w:t>
            </w:r>
          </w:p>
        </w:tc>
        <w:tc>
          <w:tcPr>
            <w:tcW w:type="dxa" w:w="684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Cellule légère de livraison, données ouvertes, revues trimestrielles, évaluations indépendantes et droit d'arrêt.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ARCHITECTURE — </w:t>
            </w:r>
            <w:r>
              <w:t>Ces six piliers ne créent pas une institution lourde: ils encadrent des décisions existantes avec preuve, publication et clauses d'arrêt.</w:t>
            </w:r>
          </w:p>
        </w:tc>
      </w:tr>
    </w:tbl>
    <w:p/>
    <w:p>
      <w:r>
        <w:br w:type="page"/>
      </w:r>
    </w:p>
    <w:p>
      <w:pPr>
        <w:pStyle w:val="Heading1"/>
      </w:pPr>
      <w:r>
        <w:t>07.01 — Éducation</w:t>
      </w:r>
      <w:r>
        <w:rPr>
          <w:color w:val="2B6777"/>
          <w:sz w:val="14"/>
          <w:vertAlign w:val="superscript"/>
        </w:rPr>
        <w:t xml:space="preserve"> [S01]</w:t>
      </w:r>
    </w:p>
    <w:p>
      <w:r>
        <w:t>Les résultats d'apprentissage restent inférieurs aux moyennes OCDE; le problème public est l'acquisition du socle, pas le classement seul.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3 districts Forge+Education, formation enseignants IA utile, base PISA et TVET par province.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50 districts; coaching enseignant observé; insertion TVET supérieure à 75% dans les filières pilotes.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Haut de l'ASEAN en compétences de base et export de méthodes TVET-production.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Élèves niveau 2+; écarts province/quintile; insertion TVET; coaching enseignant observé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07.02 — Productivité</w:t>
      </w:r>
      <w:r>
        <w:rPr>
          <w:color w:val="2B6777"/>
          <w:sz w:val="14"/>
          <w:vertAlign w:val="superscript"/>
        </w:rPr>
        <w:t xml:space="preserve"> [S03, S04, S33]</w:t>
      </w:r>
    </w:p>
    <w:p>
      <w:r>
        <w:t>La croissance récente reste inférieure aux économies régionales les plus dynamiques; la diffusion de productivité vers PME et territoires devient prioritaire.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Pilotes PME-productivité dans 3 bassins, mesure du salaire réel et diffusion fournisseurs.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Diffusion à 50 districts; productivité PME en hausse mesurée; contrats fournisseurs locaux.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Trajectoire high-income crédible par diffusion, salaires et capital humain.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Productivité réelle par heure; salaire médian réel; productivité PME/grandes entreprises; investissement par travailleur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07.03 — Énergie</w:t>
      </w:r>
      <w:r>
        <w:rPr>
          <w:color w:val="2B6777"/>
          <w:sz w:val="14"/>
          <w:vertAlign w:val="superscript"/>
        </w:rPr>
        <w:t xml:space="preserve"> [S10, S11]</w:t>
      </w:r>
    </w:p>
    <w:p>
      <w:r>
        <w:t>La sécurité d'approvisionnement repose encore fortement sur le gaz et le réseau doit intégrer davantage de charge numérique et d'énergie propre.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Standard Clean Compute: nouveaux grands sites avec publication énergie/eau et contrats propres.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Réseau renforcé, stockage, PPA propres, baisse de l'intensité carbone des nouvelles charges.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Industrie propre, réseau résilient et attractivité des charges numériques responsables.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 gaz; intensité carbone du kWh; capacité raccordée; stockage; PUE et énergie renouvelable des sites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07.04 — Démographie</w:t>
      </w:r>
      <w:r>
        <w:rPr>
          <w:color w:val="2B6777"/>
          <w:sz w:val="14"/>
          <w:vertAlign w:val="superscript"/>
        </w:rPr>
        <w:t xml:space="preserve"> [S08, S09]</w:t>
      </w:r>
    </w:p>
    <w:p>
      <w:r>
        <w:t>Le vieillissement réduit la marge de croissance et accroît la pression sur compétences, santé et protection sociale.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Programme retour compétences, participation seniors/femmes, formation continue et santé préventive.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Robotisation PME, reconversion seniors, soins de proximité et mobilité de compétences.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Vieillissement compensé par productivité, santé de proximité et compétences tout au long de la vie.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Ratio dépendance; participation seniors/femmes; formation continue; trajectoire actuarielle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07.05 — Souveraineté numérique</w:t>
      </w:r>
      <w:r>
        <w:rPr>
          <w:color w:val="2B6777"/>
          <w:sz w:val="14"/>
          <w:vertAlign w:val="superscript"/>
        </w:rPr>
        <w:t xml:space="preserve"> [S18, S19, S20]</w:t>
      </w:r>
    </w:p>
    <w:p>
      <w:r>
        <w:t>La politique cloud est utile, mais doit être complétée par classification, chiffrement, réversibilité et hébergement souverain des données critiques.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Classification données publiques, sensibles et souveraines; chiffrement côté client pour citoyens.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Portabilité obligatoire, multi-cloud, audit annuel et modèles thaïs pour services publics critiques.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 souveraines critiques gouvernées localement et cloud de confiance interopérable.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Classification; chiffrement côté client; portabilité; localisation des données souveraines; audit PDPA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07.06 — PME</w:t>
      </w:r>
      <w:r>
        <w:rPr>
          <w:color w:val="2B6777"/>
          <w:sz w:val="14"/>
          <w:vertAlign w:val="superscript"/>
        </w:rPr>
        <w:t xml:space="preserve"> [S21, S22]</w:t>
      </w:r>
    </w:p>
    <w:p>
      <w:r>
        <w:t>Le tissu entrepreneurial est massif mais la productivité, le financement et l'accès export restent fragmentés.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Crédits IA utiles et e-export pour 10 000 PME; simplification administrative mesurée.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100 000 PME numérisées avec gains mesurés; plateforme e-export ASEAN.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 = moteur d'export direct et d'innovation, non simple sous-traitance.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 numérisées; marge brute; crédit productif; export direct; adoption IA utile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07.07 — Agriculture</w:t>
      </w:r>
      <w:r>
        <w:rPr>
          <w:color w:val="2B6777"/>
          <w:sz w:val="14"/>
          <w:vertAlign w:val="superscript"/>
        </w:rPr>
        <w:t xml:space="preserve"> [S23]</w:t>
      </w:r>
    </w:p>
    <w:p>
      <w:r>
        <w:t>Le secteur emploie une part élevée de la main-d'oeuvre pour une faible part du PIB: la valeur ajoutée doit remonter vers transformation, qualité et traçabilité.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IA météo/prix/diagnostic, coopératives de transformation, traçabilité export.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50 coopératives de transformation; labels qualité, eau et carbone.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Leader de qualité agroalimentaire, transformation, traçabilité et tourisme agricole sélectif.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Valeur ajoutée/hectare; revenus agricoles réels; eau par tonne; part transformée; traçabilité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07.08 — Logistique</w:t>
      </w:r>
      <w:r>
        <w:rPr>
          <w:color w:val="2B6777"/>
          <w:sz w:val="14"/>
          <w:vertAlign w:val="superscript"/>
        </w:rPr>
        <w:t xml:space="preserve"> [S24, S25]</w:t>
      </w:r>
    </w:p>
    <w:p>
      <w:r>
        <w:t>La position centrale doit se traduire en coûts, délais, douanes et traçabilité mesurables.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Douanes numériques, suivi conteneurs, tableau de délais et coûts.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Corridors domestiques fiabilisés; U-Tapao/ports/douanes synchronisés par données ouvertes.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Hub industriel ASEAN mesuré par coûts et fiabilité, pas par slogan.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Coût logistique/PIB; délais portuaires; dédouanement; taux de conteneurs tracés; fiabilité corridor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07.09 — Santé</w:t>
      </w:r>
      <w:r>
        <w:rPr>
          <w:color w:val="2B6777"/>
          <w:sz w:val="14"/>
          <w:vertAlign w:val="superscript"/>
        </w:rPr>
        <w:t xml:space="preserve"> [S26]</w:t>
      </w:r>
    </w:p>
    <w:p>
      <w:r>
        <w:t>Le système combine excellence urbaine et tensions rurales; la télémédecine doit renforcer l'accès sans remplacer les équipes locales.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Télémédecine remboursée et triage assisté dans districts pilotes.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Clinique connectée par district et parcours patient publiés.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Couverture effective et export de télésanté institutionnelle.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Médecins/1 000; délai d'accès; télémédecine remboursée; qualité district; satisfaction patient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07.10 — Eau</w:t>
      </w:r>
      <w:r>
        <w:rPr>
          <w:color w:val="2B6777"/>
          <w:sz w:val="14"/>
          <w:vertAlign w:val="superscript"/>
        </w:rPr>
        <w:t xml:space="preserve"> [S12]</w:t>
      </w:r>
    </w:p>
    <w:p>
      <w:r>
        <w:t>Les bassins industriels et urbains exigent une gestion hydrique transparente: le risque est documenté, la causalité doit rester prouvée site par site.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Publication eau par grand site, tarification progressive industrielle et recyclage pilote.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80% de recyclage industriel dans bassins pilotes; réservoirs intelligents et reforestation ciblée.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Gestion de bassin auditée, résilience climatique et technologies exportables.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Prélèvements publiés; recyclage; stress bassin; consommation par MW; reforestation et stockage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07.11 — Transparence et intégrité</w:t>
      </w:r>
      <w:r>
        <w:rPr>
          <w:color w:val="2B6777"/>
          <w:sz w:val="14"/>
          <w:vertAlign w:val="superscript"/>
        </w:rPr>
        <w:t xml:space="preserve"> [S27]</w:t>
      </w:r>
    </w:p>
    <w:p>
      <w:r>
        <w:t>Le sujet public est la confiance: marchés, bénéficiaires effectifs, jalons et dépenses doivent être publiés avant extension.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Ledger public des grands projets, bénéficiaires effectifs publiés selon standards reconnus.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Audit citoyen, publication des dépenses et clause d'arrêt légale.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Modèle régional de publication des grands projets.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Taux de projets publiés; bénéficiaires effectifs; audit citoyen; délais de publication; CPI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07.12 — Fiscalité</w:t>
      </w:r>
      <w:r>
        <w:rPr>
          <w:color w:val="2B6777"/>
          <w:sz w:val="14"/>
          <w:vertAlign w:val="superscript"/>
        </w:rPr>
        <w:t xml:space="preserve"> [S28, S29]</w:t>
      </w:r>
    </w:p>
    <w:p>
      <w:r>
        <w:t>L'assiette fiscale reste limitée par rapport aux besoins d'investissement; l'objectif public est l'élargissement juste, pas une hausse aveugle.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Élargissement d'assiette par conformité numérique, sans annonce de hausse uniforme.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 relevé par assiette, conformité, green pricing et évaluation des dépenses fiscales.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Filet social financé sans fragiliser investissement productif.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Tax-to-GDP; conformité TVA; fiscalité verte; coût de collecte; dépenses fiscales évaluées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07.13 — Tourisme</w:t>
      </w:r>
      <w:r>
        <w:rPr>
          <w:color w:val="2B6777"/>
          <w:sz w:val="14"/>
          <w:vertAlign w:val="superscript"/>
        </w:rPr>
        <w:t xml:space="preserve"> [S30]</w:t>
      </w:r>
    </w:p>
    <w:p>
      <w:r>
        <w:t>Le volume seul fragilise destinations et marges; l'objectif est valeur, dispersion territoriale et capacité écologique.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itinéraires de valeur hors pôles saturés; capacité écologique publiée.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Certification durable, dispersion territoriale et revenu moyen en hausse.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Valeur élevée, faible pression écologique et bénéfices locaux.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Revenu/visiteur; nuits hors pôles; limites sites naturels; emplois formels; satisfaction résidents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07.14 — Industrie</w:t>
      </w:r>
      <w:r>
        <w:rPr>
          <w:color w:val="2B6777"/>
          <w:sz w:val="14"/>
          <w:vertAlign w:val="superscript"/>
        </w:rPr>
        <w:t xml:space="preserve"> [S31, S32]</w:t>
      </w:r>
    </w:p>
    <w:p>
      <w:r>
        <w:t>Le pays est une base manufacturière reconnue; la prochaine étape est la propriété intellectuelle, les composants, l'équipement et la qualité verte.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Capability Covenants pour EV, PCB, robotique légère et composants locaux.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Centres R&amp;D, fournisseurs qualifiés, propriété intellectuelle et production propre.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Made in Thailand = qualité, composants, équipements et design propre.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Contenu local; R&amp;D privée; export composants; emplois techniques; certificats bas carbone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07.15 — Diplomatie économique</w:t>
      </w:r>
      <w:r>
        <w:rPr>
          <w:color w:val="2B6777"/>
          <w:sz w:val="14"/>
          <w:vertAlign w:val="superscript"/>
        </w:rPr>
        <w:t xml:space="preserve"> [S34]</w:t>
      </w:r>
    </w:p>
    <w:p>
      <w:r>
        <w:t>Le levier régional est la neutralité active: standards ouverts, infrastructures fiables et coopération économique opt-in.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4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Horizon</w:t>
            </w:r>
          </w:p>
        </w:tc>
        <w:tc>
          <w:tcPr>
            <w:tcW w:type="dxa" w:w="9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publique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 an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Agenda DEFA et standards opt-in de confiance numérique, logistique et énergie.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Compact d'infrastructures de confiance ouvert à tous les membres volontaires.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 ans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Voix ASEAN de confiance, neutre, utile aux partenaires et fondée sur la preuve.</w:t>
            </w:r>
          </w:p>
        </w:tc>
      </w:tr>
      <w:tr>
        <w:trPr>
          <w:cantSplit/>
        </w:trPr>
        <w:tc>
          <w:tcPr>
            <w:tcW w:type="dxa" w:w="144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KPI</w:t>
            </w:r>
          </w:p>
        </w:tc>
        <w:tc>
          <w:tcPr>
            <w:tcW w:type="dxa" w:w="950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Accords opt-in; interopérabilité; projets conjoints; confiance numérique; participation DEFA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08 — Feuille de route: cent premiers jours</w:t>
      </w:r>
      <w:r>
        <w:rPr>
          <w:color w:val="2B6777"/>
          <w:sz w:val="14"/>
          <w:vertAlign w:val="superscript"/>
        </w:rPr>
        <w:t xml:space="preserve"> [S13, S18, S19, S20,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15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Fenêtre</w:t>
            </w:r>
          </w:p>
        </w:tc>
        <w:tc>
          <w:tcPr>
            <w:tcW w:type="dxa" w:w="28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Livrable</w:t>
            </w:r>
          </w:p>
        </w:tc>
        <w:tc>
          <w:tcPr>
            <w:tcW w:type="dxa" w:w="676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Résultat public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J1–15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Dossier noyau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Stabiliser le narratif public, la doctrine, le périmètre juridique et les 15 fiches de lacunes.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J16–30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Audit chiffres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Valider les bases 2026, retirer les chiffres non confirmés, séparer fait, estimation, cible et opinion.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J31–45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Prototype dashboard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Construire le tableau de bord 2036 avec statuts d'investissement, KPI, sources et responsables.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J46–60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 data center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Appliquer le registre public à un pilote: énergie, eau, emploi direct, compétences et bénéficiaires effectifs.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J61–75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 forge-éducation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Lancer un district production+formation avec commandes réelles, enseignants coachés et métriques d'insertion.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J76–90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Version gouvernementale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Transformer les résultats en note de décision, plan de ressources, standards de publication et calendrier de Cabinet.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J91–100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Go/no-go</w:t>
            </w:r>
          </w:p>
        </w:tc>
        <w:tc>
          <w:tcPr>
            <w:tcW w:type="dxa" w:w="67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Décider extension limitée, clauses d'arrêt, audits indépendants et publication du premier tableau de bord.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GATE — </w:t>
            </w:r>
            <w:r>
              <w:t>À J100, le gouvernement doit disposer d'une décision d'extension limitée ou d'arrêt, jamais d'une promesse automatique.</w:t>
            </w:r>
          </w:p>
        </w:tc>
      </w:tr>
    </w:tbl>
    <w:p/>
    <w:p>
      <w:r>
        <w:br w:type="page"/>
      </w:r>
    </w:p>
    <w:p>
      <w:pPr>
        <w:pStyle w:val="Heading1"/>
      </w:pPr>
      <w:r>
        <w:t>09 — Roadmap 2026–2031–2036</w:t>
      </w:r>
      <w:r>
        <w:rPr>
          <w:color w:val="2B6777"/>
          <w:sz w:val="14"/>
          <w:vertAlign w:val="superscript"/>
        </w:rPr>
        <w:t xml:space="preserve"> [S03, S04, S06,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172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Phase</w:t>
            </w:r>
          </w:p>
        </w:tc>
        <w:tc>
          <w:tcPr>
            <w:tcW w:type="dxa" w:w="662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Objectif</w:t>
            </w:r>
          </w:p>
        </w:tc>
        <w:tc>
          <w:tcPr>
            <w:tcW w:type="dxa" w:w="316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Garde-fou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2026</w:t>
            </w:r>
          </w:p>
        </w:tc>
        <w:tc>
          <w:tcPr>
            <w:tcW w:type="dxa" w:w="662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Installer les six missions, créer le ledger, lancer deux pilotes vérifiables.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Aucun grand chiffre sans statut; aucune extension sans base.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2027–2028</w:t>
            </w:r>
          </w:p>
        </w:tc>
        <w:tc>
          <w:tcPr>
            <w:tcW w:type="dxa" w:w="662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Passer de pilotes à portefeuilles provinciaux; publier revues trimestrielles.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Extension maximale par vagues; évaluateur externe.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2029–2031</w:t>
            </w:r>
          </w:p>
        </w:tc>
        <w:tc>
          <w:tcPr>
            <w:tcW w:type="dxa" w:w="662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Diffuser productivité, PME, eau-énergie, données et santé de district.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Budget pluriannuel et clauses d'arrêt.</w:t>
            </w:r>
          </w:p>
        </w:tc>
      </w:tr>
      <w:tr>
        <w:trPr>
          <w:cantSplit/>
        </w:trPr>
        <w:tc>
          <w:tcPr>
            <w:tcW w:type="dxa" w:w="172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2032–2036</w:t>
            </w:r>
          </w:p>
        </w:tc>
        <w:tc>
          <w:tcPr>
            <w:tcW w:type="dxa" w:w="662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Institutionnaliser le modèle: hub industriel ASEAN, confiance numérique, croissance partagée.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Révision indépendante des cibles 2036.</w:t>
            </w:r>
          </w:p>
        </w:tc>
      </w:tr>
    </w:tbl>
    <w:p>
      <w:pPr>
        <w:spacing w:after="40"/>
      </w:pPr>
    </w:p>
    <w:p>
      <w:pPr>
        <w:pStyle w:val="ListBullet"/>
        <w:spacing w:after="40"/>
      </w:pPr>
      <w:r>
        <w:t>Le mécanisme régional reste positif-somme: standards, réseau, eau, données et corridors opt-in.</w:t>
      </w:r>
    </w:p>
    <w:p>
      <w:pPr>
        <w:pStyle w:val="ListBullet"/>
        <w:spacing w:after="40"/>
      </w:pPr>
      <w:r>
        <w:t>Le dossier ne propose pas de règlement de conflit ni de partage nommé de ressources sensibles.</w:t>
      </w:r>
    </w:p>
    <w:p>
      <w:pPr>
        <w:pStyle w:val="ListBullet"/>
        <w:spacing w:after="40"/>
      </w:pPr>
      <w:r>
        <w:t>L'identité citoyenne et la distribution passent par identité numérique, registre public et PDPA.</w:t>
      </w:r>
    </w:p>
    <w:p>
      <w:r>
        <w:br w:type="page"/>
      </w:r>
    </w:p>
    <w:p>
      <w:pPr>
        <w:pStyle w:val="Heading1"/>
      </w:pPr>
      <w:r>
        <w:t>10 — KPI de pilotage</w:t>
      </w:r>
      <w:r>
        <w:rPr>
          <w:color w:val="2B6777"/>
          <w:sz w:val="14"/>
          <w:vertAlign w:val="superscript"/>
        </w:rPr>
        <w:t xml:space="preserve"> [S01, S03, S12, S18, S21, S24, S28, S30]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15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Domaine</w:t>
            </w:r>
          </w:p>
        </w:tc>
        <w:tc>
          <w:tcPr>
            <w:tcW w:type="dxa" w:w="345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KPI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Type</w:t>
            </w:r>
          </w:p>
        </w:tc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Base</w:t>
            </w:r>
          </w:p>
        </w:tc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Cible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Réf.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Productivité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Productivité réelle par heure travaillée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2026 à mesurer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+15%; 2036: convergence high-income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S03, S04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Éducation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 d'élèves au niveau minimal PISA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PISA 2022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+10 pts; 2036: haut de l'ASEAN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S01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Compétences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Insertion TVET à 12 mois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à établir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75%; 2036: 85%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S01, S21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 souveraines classées et chiffrées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Inventaire J30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80%; 2036: 100% critiques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S18, S19, S20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Énergie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 énergie propre des nouvelles charges critiques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Cible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Contrats projet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50%; 2036: 80%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S10, S11, S13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Eau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Publication eau/énergie par grand site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Ledger pilote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100% grands sites; 2036: audit bassin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S12, S13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 numérisées avec gain mesuré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J45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100 000; 2036: 300 000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S21, S22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Agriculture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 de valeur transformée et traçable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Estimation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par filière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+20%; 2036: +50%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S23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Logistique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Délai médian dédouanement/export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2026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-30%; 2036: top-quartile ASEAN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S24, S25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Santé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Délai d'accès district rural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MOPH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-25%; 2036: couverture effective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S26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Fiscalité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17% en 2023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+2 pts; 2036: soutenable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S28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Tourisme</w:t>
            </w:r>
          </w:p>
        </w:tc>
        <w:tc>
          <w:tcPr>
            <w:tcW w:type="dxa" w:w="345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Revenu moyen par visiteur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Base TAT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2031: +30%; 2036: +60%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S30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11 — Registre des risques</w:t>
      </w:r>
      <w:r>
        <w:rPr>
          <w:color w:val="2B6777"/>
          <w:sz w:val="14"/>
          <w:vertAlign w:val="superscript"/>
        </w:rPr>
        <w:t xml:space="preserve"> [S06, S12, S13, S17, S18, S27,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6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187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Risque</w:t>
            </w:r>
          </w:p>
        </w:tc>
        <w:tc>
          <w:tcPr>
            <w:tcW w:type="dxa" w:w="316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Déclencheur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Niveau</w:t>
            </w:r>
          </w:p>
        </w:tc>
        <w:tc>
          <w:tcPr>
            <w:tcW w:type="dxa" w:w="360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Mitigation</w:t>
            </w:r>
          </w:p>
        </w:tc>
        <w:tc>
          <w:tcPr>
            <w:tcW w:type="dxa" w:w="86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Resp.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R1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Addition de montants hétérogènes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Confondre demandes, approbations, dépenses et opérations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Registre statutaire obligatoire; aucune addition inter-statuts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M6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R2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Faible emploi direct des sites très capitalistiques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Déception publique si les emplois de chaîne d'approvisionnement sont présentés comme emplois directs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emplois directs, construction, ETP-année et fournisseurs séparément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M3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R3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Pression eau-énergie locale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Raccordements rapides sans transparence bassin/réseau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Permis conditionnés au bilan eau-énergie et à la publication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M3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R4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Captation de rente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Avantages publics sans capacités locales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Moyenne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Capability Covenants, récupération et bénéficiaires effectifs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M4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R5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Sur-promesse fiscale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Confondre piste exploratoire et revenu citoyen garanti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Moyenne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Fonds de productivité d'abord; dividende d'automatisation seulement à l'étude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M6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R6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Fragmentation administrative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Silos ministériels, KPI non comparables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Delivery Unit, tableau de bord et revues trimestrielles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A6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R7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Lecture géopolitique erronée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programme pourrait être lu comme alignement de bloc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Doctrine de neutralité active, standards ouverts et opt-in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A5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R8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 sensibles mal classées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Cloud utile mais gouvernance insuffisante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Data Sovereignty Act, chiffrement et audits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A1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R9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Inégalités territoriales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Concentration des bénéfices dans quelques corridors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Moyenne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Pilotes par provinces, critères de redistribution productifs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M1</w:t>
            </w:r>
          </w:p>
        </w:tc>
      </w:tr>
      <w:tr>
        <w:trPr>
          <w:cantSplit/>
        </w:trPr>
        <w:tc>
          <w:tcPr>
            <w:tcW w:type="dxa" w:w="64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R10</w:t>
            </w:r>
          </w:p>
        </w:tc>
        <w:tc>
          <w:tcPr>
            <w:tcW w:type="dxa" w:w="187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Perte de crédibilité par chiffre non confirmé</w:t>
            </w:r>
          </w:p>
        </w:tc>
        <w:tc>
          <w:tcPr>
            <w:tcW w:type="dxa" w:w="316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Une seule erreur visible peut bloquer la discussion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Élevée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Gate factuel public avant partage</w:t>
            </w:r>
          </w:p>
        </w:tc>
        <w:tc>
          <w:tcPr>
            <w:tcW w:type="dxa" w:w="86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M6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12 — Audit des 25 claims, partie 1</w:t>
      </w:r>
      <w:r>
        <w:rPr>
          <w:color w:val="2B6777"/>
          <w:sz w:val="14"/>
          <w:vertAlign w:val="superscript"/>
        </w:rPr>
        <w:t xml:space="preserve"> [S01,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#</w:t>
            </w:r>
          </w:p>
        </w:tc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Sujet audité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Type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Statut</w:t>
            </w:r>
          </w:p>
        </w:tc>
        <w:tc>
          <w:tcPr>
            <w:tcW w:type="dxa" w:w="56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Formulation publique</w:t>
            </w:r>
          </w:p>
        </w:tc>
        <w:tc>
          <w:tcPr>
            <w:tcW w:type="dxa" w:w="10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Réf.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Performance scolaire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Partiel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scores et niveaux de compétence, pas seulement un rang simplifié.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S01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Départs étudiants et retour des compétences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Estimation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À mesurer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l'enjeu de retour des compétences; exiger une base administrative avant cible.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S01, S08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3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Croissance Thaïlande vs économie régionale très dynamique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Thaïlande 2025 autour de 2,4%; Vietnam 2025 à 8,02% officiel. Formuler en comparaison de performance, pas en accusation.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S03, S05, S33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4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PIB/habitant et seuil high-income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Utiliser RNB/habitant Atlas et seuil FY2026; ne pas confondre PIB/habitant courant et classification.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S02, S07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5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Dépendance au gaz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Partiel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fourchette et année; relier aux plans réseau et stockage.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S10, S11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6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Renouvelables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Partiel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Préciser production, capacité installée ou consommation finale avant toute cible.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S10, S11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7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Vieillissement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le diagnostic, chiffrer participation, santé et compétences par cohorte.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S08, S09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8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Cloud public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À mesurer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politique cloud existe; le taux d'adoption et les catégories de données doivent être inventoriés.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S19, S20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9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Accès légal aux données hébergées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 juridique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Nuancé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Présenter les risques de juridiction avec procédures légales, chiffrement et contrôle local; éviter tout raccourci absolu.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S18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12 — Audit des 25 claims, partie 2</w:t>
      </w:r>
      <w:r>
        <w:rPr>
          <w:color w:val="2B6777"/>
          <w:sz w:val="14"/>
          <w:vertAlign w:val="superscript"/>
        </w:rPr>
        <w:t xml:space="preserve"> [S01,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#</w:t>
            </w:r>
          </w:p>
        </w:tc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Sujet audité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Type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Statut</w:t>
            </w:r>
          </w:p>
        </w:tc>
        <w:tc>
          <w:tcPr>
            <w:tcW w:type="dxa" w:w="56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Formulation publique</w:t>
            </w:r>
          </w:p>
        </w:tc>
        <w:tc>
          <w:tcPr>
            <w:tcW w:type="dxa" w:w="10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Réf.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10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Poids économique des PME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Utiliser chiffres récents et définitions SME/MSME; publier contribution et emploi séparément.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S21, S22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11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Agriculture: emploi vs valeur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le diagnostic d'écart de productivité avec stratégie de valeur ajoutée.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S23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12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Logistique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Partiel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coûts, délais, fiabilité et douanes; éviter rang portuaire isolé sans année et méthode.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S24, S25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13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Santé territoriale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Partiel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l'écart d'accès; actualiser les ratios par province et spécialité.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S26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14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Eau et charge numérique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Risque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Nuancé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 risque de stress hydrique est documenté; la causalité doit être prouvée par bassin et par site.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S12, S13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15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Transparence publique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Opinion de politique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 publication des statuts de projet est une mesure de confiance, non une accusation.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S27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16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Fiscalité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Tax-to-GDP 2023 autour de 17%; privilégier assiette, conformité et dépenses fiscales évaluées.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S28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17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e-Service VAT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Limité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uniquement les collectes documentées FY2022 et FY2023 partiel; ne pas extrapoler un exercice ultérieur sans source officielle.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S29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18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Tourisme pré-pandémie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la référence 2019, mais piloter par valeur, dispersion et capacité écologique.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S30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12 — Audit des 25 claims, partie 3</w:t>
      </w:r>
      <w:r>
        <w:rPr>
          <w:color w:val="2B6777"/>
          <w:sz w:val="14"/>
          <w:vertAlign w:val="superscript"/>
        </w:rPr>
        <w:t xml:space="preserve"> [S01,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50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#</w:t>
            </w:r>
          </w:p>
        </w:tc>
        <w:tc>
          <w:tcPr>
            <w:tcW w:type="dxa" w:w="20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Sujet audité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Type</w:t>
            </w:r>
          </w:p>
        </w:tc>
        <w:tc>
          <w:tcPr>
            <w:tcW w:type="dxa" w:w="115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Statut</w:t>
            </w:r>
          </w:p>
        </w:tc>
        <w:tc>
          <w:tcPr>
            <w:tcW w:type="dxa" w:w="561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Formulation publique</w:t>
            </w:r>
          </w:p>
        </w:tc>
        <w:tc>
          <w:tcPr>
            <w:tcW w:type="dxa" w:w="10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Réf.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19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EV et automobile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Conserver la base industrielle; conditionner les aides au contenu local, aux exportations et aux compétences.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S31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20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PCB et électronique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les étapes de chaîne de valeur réalisées localement et les besoins de compétences.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S32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21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Demandes BOI data centers 2025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728 milliards THB = demandes BOI 2025; ne pas additionner avec approbations ultérieures.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S13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22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Grande approbation data infrastructure 2026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Solide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842 milliards THB = approbation BOI de mai 2026; statut distinct de dépense et d'opération.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S14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23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Investissement cloud étranger pluriannuel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Fait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Nuancé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les engagements comme étalés dans le temps; ne pas les traiter comme dépenses immédiates.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S15, S16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24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Emplois data centers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Estimation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Séparer emplois directs permanents, construction, fournisseurs et ETP-année; utiliser une fourchette directe prudente de 50 à 200 par campus hyperscale.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S17</w:t>
            </w:r>
          </w:p>
        </w:tc>
      </w:tr>
      <w:tr>
        <w:trPr>
          <w:cantSplit/>
        </w:trPr>
        <w:tc>
          <w:tcPr>
            <w:tcW w:type="dxa" w:w="50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25</w:t>
            </w:r>
          </w:p>
        </w:tc>
        <w:tc>
          <w:tcPr>
            <w:tcW w:type="dxa" w:w="20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Coopération régionale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Doctrine</w:t>
            </w:r>
          </w:p>
        </w:tc>
        <w:tc>
          <w:tcPr>
            <w:tcW w:type="dxa" w:w="115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Corrigé</w:t>
            </w:r>
          </w:p>
        </w:tc>
        <w:tc>
          <w:tcPr>
            <w:tcW w:type="dxa" w:w="561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Formuler le programme comme standards ouverts, neutralité active et infrastructures de confiance utiles à tous.</w:t>
            </w:r>
          </w:p>
        </w:tc>
        <w:tc>
          <w:tcPr>
            <w:tcW w:type="dxa" w:w="100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S34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13 — Sources publiques documentées, partie I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6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367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Source</w:t>
            </w:r>
          </w:p>
        </w:tc>
        <w:tc>
          <w:tcPr>
            <w:tcW w:type="dxa" w:w="68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URL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S01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OCDE — PISA 2022, note pays Thaïlande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https://www.oecd.org/content/dam/oecd/en/publications/reports/2023/11/pisa-2022-results-volume-i-and-ii-country-notes_2fca04b9/thailand_b136aea5/6138f4af-en.pdf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S02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Indicateurs pays — Thaïlande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https://data.worldbank.org/country/thailand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S03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NESDC — Thai Economic Performance in Q4 2025 and Outlook for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https://www.nesdc.go.th/en/download/press-release-47/?ddl=99987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S04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Thailand Economic Monitor, février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https://documents1.worldbank.org/curated/en/099021026053539312/pdf/P513268-b02b64e1-f987-46ff-80b6-e6e02bc2369a.pdf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S05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Bank of Thailand — Economic Outlook, prévisions avril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https://www.bot.or.th/en/thai-economy/economic-outlook.html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S06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PDMO — Public Debt Status Summary as of April 30,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https://backend.pdmo.go.th/uploads/documents/2026/May/20260529191839_9920.pdf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S07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Country and Lending Groups, exercice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https://datahelpdesk.worldbank.org/knowledgebase/articles/906519-world-bank-country-and-lending-groups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S08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Aging and the Labor Market in Thailand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https://www.worldbank.org/en/country/thailand/publication/aging-and-the-labor-market-in-thailand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S09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OIT — Actuarial valuation of Thailand social security scheme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https://www.social-protection.org/gimi/gess/RessourcePDF.action?ressource.ressourceId=53893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S10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U.S. International Trade Administration — Thailand — Energy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https://www.trade.gov/country-commercial-guides/thailand-energy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S11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Thailand Country Climate and Development Report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https://www.worldbank.org/en/country/thailand/publication/thailand-country-climate-and-development-report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S12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Eastern Economic Corridor water balance and resilience analysis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https://documents1.worldbank.org/curated/en/099100425072084606/pdf/P507208-8321ad61-ee4c-4671-aa19-7f9a8f0c95eb.pdf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S13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BOI — Data center investment applications in 2025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https://www.boi.go.th/index.php?_module=news&amp;from_page=press_releases2&amp;language=en&amp;page=press_releases_detail&amp;topic_id=138444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S14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Reuters — Thailand approves major development projects, May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https://www.reuters.com/world/asia-pacific/thailand-approves-29-billion-major-projects-including-tiktok-2026-05-06/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S15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AWS — AWS Region in Thailand and investment through 2037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https://aws.amazon.com/local/thailand/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S16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Google — Thailand data center and cloud region announcement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https://www.googlecloudpresscorner.com/2024-09-30-Google-Announces-Plans-to-Invest-US-1-Billion-to-Build-Data-Center-and-Cloud-Region-in-Thailand%2C-Support-Initiatives-to-Expand-AI-Opportunities-for-Thais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S17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Stratford Analytics — Data center jobs: economic impact versus permanent operations roles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https://www.stratfordanalytics.com/data-center-economic-impact-energy-costs-vs-job-creation/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t>13 — Sources publiques documentées, partie II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64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367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Source</w:t>
            </w:r>
          </w:p>
        </w:tc>
        <w:tc>
          <w:tcPr>
            <w:tcW w:type="dxa" w:w="684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URL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S18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Microsoft — CLOUD Act — what it is and is not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https://cdn-dynmedia-1.microsoft.com/is/content/microsoftcorp/microsoft/msc/documents/presentations/CSR/CLOUD-Act-What-it-is-and-is-not.pdf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S19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Digital Government Development Agency — Cloud First Policy implementation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https://www.dga.or.th/en/document-sharing/en-dga-news/118847/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S20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Digital Government Development Agency — Public-sector data classification draft guideline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standard.dga.or.th/wp-content/uploads/2026/01/%E0%B8%A3%E0%B9%88%E0%B8%B2%E0%B8%87-%E0%B8%A1%E0%B8%A3%E0%B8%94.-X-256X-%E0%B8%A7%E0%B9%88%E0%B8%B2%E0%B8%94%E0%B9%89%E0%B8%A7%E0%B8%A2%E0%B8%AB%E0%B8%A5%E0%B8%B1%E0%B8%81%E0%B9%80%E0%B8%81%E0%B8%93%E0%B8%91%E0%B9%8C%E0%B8%81%E0%B8%B2%E0%B8%A3%E0%B8%88%E0%B8%B1%E0%B8%94%E0%B8%A3%E0%B8%B0%E0%B8%94%E0%B8%B1%E0%B8%9A%E0%B8%8A%E0%B8%B1%E0%B9%89%E0%B8%99%E0%B8%82%E0%B9%89%E0%B8%AD%E0%B8%A1%E0%B8%B9%E0%B8%A5%E0%B8%A0%E0%B8%B2%E0%B8%84%E0%B8%A3%E0%B8%B1%E0%B8%90-%E0%B8%89%E0%B8%9A%E0%B8%B1%E0%B8%9A-CDV-v0.3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S21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OCDE — Financing SMEs and Entrepreneurs 2026 — Thailand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https://www.oecd.org/en/publications/financing-smes-and-entrepreneurs-2026_075d8058-en/full-report/thailand_a1b1b4e6.html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S22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Thailand Economic Monitor 2025 — innovation, SMEs and startups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https://www.worldbank.org/en/country/thailand/publication/thailand-economic-monitor-february-2025-unleashing-growth-innovation-smes-and-startups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S23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Thailand Rural Income Diagnostic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https://documents1.worldbank.org/curated/en/099005010202299399/pdf/P1775991e5f180ee130cf14572184e61f60735628d80.pdf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S24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Banque mondiale — Logistics Performance Indicators 2.0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https://lpi.worldbank.org/en/home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S25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NESDC — Thailand Logistics Report 2024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https://www.nesdc.go.th/ewt_dl_link.php?nid=16022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S26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Ministère thaïlandais de la Santé publique — Statistiques clés 2024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https://spd.moph.go.th/wp-content/uploads/2025/11/%E0%B8%AA%E0%B8%A3%E0%B8%B8%E0%B8%9B%E0%B8%AA%E0%B8%96%E0%B8%B4%E0%B8%95%E0%B8%B4%E0%B8%97%E0%B8%B5%E0%B9%88%E0%B8%AA%E0%B8%B3%E0%B8%84%E0%B8%B1%E0%B8%8D-%E0%B8%9E.%E0%B8%A8.-2567.pdf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S27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Transparency International — Corruption Perceptions Index 2025 — Thailand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https://www.transparency.org/en/countries/thailand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S28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OCDE — Revenue Statistics in Asia and the Pacific 2025 — Thailand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https://www.oecd.org/content/dam/oecd/en/publications/reports/2025/06/revenue-statistics-in-asia-and-the-pacific-2025-country-notes_0a069779/thailand_b65170c5/4233cf4b-en.pdf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S29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Presse économique thaïlandaise — e-Service VAT reporting 2022–2023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https://www.bangkokpost.com/thailand/general/2372663/e-service-tax-brings-in-b6bn ; https://www.nationthailand.com/thailand/general/40030364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S30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Tourism Authority of Thailand — Tourism value-growth plan 2026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https://www.tatnews.org/2026/01/tat-sets-thailand-tourism-next-for-value-growth-plan/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S31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BOI — EV 3.5 measures and regional manufacturing hub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https://www.boi.go.th/un/boi_event_detail?language=en&amp;module=news&amp;topic_id=134676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S32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BOI — Thailand Investment Review — PCB manufacturing base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https://www.boi.go.th/upload/ejournal/2024/Issue3/TIR_Newsletter_July2024.pdf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S33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General Statistics Office of Viet Nam — Socio-economic situation in the fourth quarter and 2025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https://www.nso.gov.vn/en/data-and-statistics/2026/01/socio-economic-situation-in-the-fourth-quarter-and-2025/</w:t>
            </w:r>
          </w:p>
        </w:tc>
      </w:tr>
      <w:tr>
        <w:tc>
          <w:tcPr>
            <w:tcW w:type="dxa" w:w="648"/>
            <w:vAlign w:val="top"/>
            <w:shd w:fill="EAF3F6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S34</w:t>
            </w:r>
          </w:p>
        </w:tc>
        <w:tc>
          <w:tcPr>
            <w:tcW w:type="dxa" w:w="3672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ASEAN — DEFA conclusion and ASEAN Outlook on the Indo-Pacific</w:t>
            </w:r>
          </w:p>
        </w:tc>
        <w:tc>
          <w:tcPr>
            <w:tcW w:type="dxa" w:w="6840"/>
            <w:vAlign w:val="top"/>
          </w:tcPr>
          <w:p>
            <w:pPr>
              <w:pStyle w:val="SourceSmall"/>
            </w:pPr>
            <w:r/>
            <w:r>
              <w:rPr>
                <w:rFonts w:ascii="Aptos" w:hAnsi="Aptos" w:eastAsia="Aptos"/>
                <w:b w:val="0"/>
                <w:sz w:val="11"/>
              </w:rPr>
              <w:t>https://asean.org/statement-of-the-chairperson-of-the-asean-senior-economic-officials-seom-on-the-conclusion-of-asean-defa-negotiations/ ; https://asean.org/wp-content/uploads/2021/01/ASEAN-Outlook-on-the-Indo-Pacific_FINAL_22062019.pdf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GATE FINAL — </w:t>
            </w:r>
            <w:r>
              <w:t>Publication autorisée seulement après scan machine et lecture de contexte des éventuels hits. Le présent pack public contient uniquement des formulations partageables.</w:t>
            </w:r>
          </w:p>
        </w:tc>
      </w:tr>
    </w:tbl>
    <w:p/>
    <w:sectPr>
      <w:headerReference w:type="default" r:id="rId9"/>
      <w:footerReference w:type="default" r:id="rId10"/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ourceSmall"/>
      <w:jc w:val="center"/>
    </w:pPr>
    <w:r>
      <w:t>Version publique — 19 juin 2026 — version publique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ourceSmall"/>
    </w:pPr>
    <w:r>
      <w:t>SABAI 2036 — Thailand as ASEAN's Trusted Infrastructure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5" w:lineRule="auto"/>
    </w:pPr>
    <w:rPr>
      <w:rFonts w:ascii="Aptos" w:hAnsi="Aptos" w:eastAsia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4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B677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40" w:after="8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2B6777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40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F4E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Table">
    <w:name w:val="SmallTable"/>
    <w:pPr>
      <w:spacing w:after="0" w:line="240" w:lineRule="auto"/>
    </w:pPr>
    <w:rPr>
      <w:rFonts w:ascii="Aptos" w:hAnsi="Aptos"/>
      <w:sz w:val="15"/>
    </w:rPr>
  </w:style>
  <w:style w:type="paragraph" w:customStyle="1" w:styleId="SourceSmall">
    <w:name w:val="SourceSmall"/>
    <w:pPr>
      <w:spacing w:after="0" w:line="240" w:lineRule="auto"/>
    </w:pPr>
    <w:rPr>
      <w:rFonts w:ascii="Aptos" w:hAnsi="Aptos"/>
      <w:color w:val="505050"/>
      <w:sz w:val="1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SABAI 2036 — Thailand as ASEAN's Trusted Infrastructure Hub</dc:title>
  <dc:subject>Version publique</dc:subject>
  <dc:creator/>
  <cp:keywords/>
  <dc:description>Ce document s'appuie sur des recherches vérifiées par audits indépendants et des sources publiques documentées en annexe.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