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5F"/>
          <w:sz w:val="36"/>
        </w:rPr>
        <w:t>NOTE EXÉCUTIVE DE CABINET</w:t>
      </w:r>
    </w:p>
    <w:p>
      <w:pPr>
        <w:jc w:val="center"/>
      </w:pPr>
      <w:r>
        <w:rPr>
          <w:b/>
          <w:sz w:val="28"/>
        </w:rPr>
        <w:t>SABAI 2036 — Thailand as ASEAN's Trusted Infrastructure Hub</w:t>
      </w:r>
    </w:p>
    <w:p>
      <w:pPr>
        <w:jc w:val="center"/>
      </w:pPr>
      <w:r>
        <w:t>Neutralité active. Données souveraines. Industrie propre. Croissance partagée.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3F6"/>
          </w:tcPr>
          <w:p>
            <w:pPr/>
            <w:r>
              <w:rPr>
                <w:b/>
                <w:color w:val="1F4E5F"/>
              </w:rPr>
              <w:t xml:space="preserve">DOCTRINE — </w:t>
            </w:r>
            <w:r>
              <w:t>La Thaïlande construit l'infrastructure de confiance dont tous les partenaires ont besoin. Notre avantage est productif, numérique, agricole, énergétique, culturel et diplomatique — pas militaire.</w:t>
            </w:r>
          </w:p>
        </w:tc>
      </w:tr>
    </w:tbl>
    <w:p/>
    <w:p>
      <w:r>
        <w:t>Décision recommandée: valider l'ambition 2036, lancer le Public Project Ledger, démarrer deux pilotes limités et installer une Delivery Unit centrée sur preuve, données et clauses d'arrêt.</w:t>
      </w:r>
      <w:r>
        <w:rPr>
          <w:color w:val="2B6777"/>
          <w:sz w:val="14"/>
          <w:vertAlign w:val="superscript"/>
        </w:rPr>
        <w:t xml:space="preserve"> [S03, S04, S06, S13,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360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À garder</w:t>
            </w:r>
          </w:p>
        </w:tc>
        <w:tc>
          <w:tcPr>
            <w:tcW w:type="dxa" w:w="360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À corriger</w:t>
            </w:r>
          </w:p>
        </w:tc>
        <w:tc>
          <w:tcPr>
            <w:tcW w:type="dxa" w:w="360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À publier</w:t>
            </w:r>
          </w:p>
        </w:tc>
      </w:tr>
      <w:tr>
        <w:trPr>
          <w:cantSplit/>
        </w:trPr>
        <w:tc>
          <w:tcPr>
            <w:tcW w:type="dxa" w:w="360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15 lacunes; horizon 2036; productivité/résilience/souveraineté; neutralité active.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Statuts d'investissement; emplois directs; bases 2026; chiffres non confirmés.</w:t>
            </w:r>
          </w:p>
        </w:tc>
        <w:tc>
          <w:tcPr>
            <w:tcW w:type="dxa" w:w="360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Ledger, KPI, risques, sources, bénéficiaires effectifs et critères d'extension.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Six missions et architecture</w:t>
      </w:r>
      <w:r>
        <w:rPr>
          <w:color w:val="2B6777"/>
          <w:sz w:val="14"/>
          <w:vertAlign w:val="superscript"/>
        </w:rPr>
        <w:t xml:space="preserve"> [S18, S19, S20,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331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Mission</w:t>
            </w:r>
          </w:p>
        </w:tc>
        <w:tc>
          <w:tcPr>
            <w:tcW w:type="dxa" w:w="7632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Mandat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Capital humain et productivité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Relier école, TVET, universités, PME et bassins industriels pour diffuser compétences et salaires réels.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Données souveraines et IA utile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Classer les données, chiffrer les usages sensibles, assurer portabilité, audit et capacités locales.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Énergie propre, eau et compute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Ne raccorder les charges critiques que si énergie, eau, réseau et transparence sont publiés.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PME, agriculture et industrie propre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Transformer les investissements en chaînes de fournisseurs, produits transformés, composants et export direct.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Santé, démographie et tourisme de valeur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Utiliser numérique et organisation territoriale pour réduire les écarts d'accès et préserver les destinations.</w:t>
            </w:r>
          </w:p>
        </w:tc>
      </w:tr>
      <w:tr>
        <w:trPr>
          <w:cantSplit/>
        </w:trPr>
        <w:tc>
          <w:tcPr>
            <w:tcW w:type="dxa" w:w="3312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Transparence, fiscalité et diplomatie économique</w:t>
            </w:r>
          </w:p>
        </w:tc>
        <w:tc>
          <w:tcPr>
            <w:tcW w:type="dxa" w:w="7632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Publier les statuts, élargir l'assiette, sécuriser les bénéfices publics et porter des standards ASEAN opt-in.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345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Pilier</w:t>
            </w:r>
          </w:p>
        </w:tc>
        <w:tc>
          <w:tcPr>
            <w:tcW w:type="dxa" w:w="748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Rôle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Data Sovereignty Act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Classification des données publiques/sensibles/souveraines, exigences de chiffrement, portabilité, réversibilité et audit PDPA.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Capability Covenants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Tout avantage public majeur est conditionné à compétences locales, fournisseurs, énergie/eau, publication et clauses de récupération.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Forge+Education Districts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Districts pilotes où écoles, TVET, ateliers, PME et acheteurs industriels résolvent des problèmes de production réels.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Public Project Ledger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Registre public distinguant annoncé, demande, approuvé, dépensé, construit et opérationnel pour chaque grand projet.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ASEAN Trusted Infrastructure Compact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Cadre opt-in de confiance numérique, logistique, énergie et standards, sans ciblage géopolitique ni arbitrage de conflits.</w:t>
            </w:r>
          </w:p>
        </w:tc>
      </w:tr>
      <w:tr>
        <w:trPr>
          <w:cantSplit/>
        </w:trPr>
        <w:tc>
          <w:tcPr>
            <w:tcW w:type="dxa" w:w="3456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National Delivery Unit &amp; 2036 Dashboard</w:t>
            </w:r>
          </w:p>
        </w:tc>
        <w:tc>
          <w:tcPr>
            <w:tcW w:type="dxa" w:w="7488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Cellule légère de livraison, données ouvertes, revues trimestrielles, évaluations indépendantes et droit d'arrêt.</w:t>
            </w:r>
          </w:p>
        </w:tc>
      </w:tr>
    </w:tbl>
    <w:p>
      <w:pPr>
        <w:spacing w:after="40"/>
      </w:pPr>
    </w:p>
    <w:p>
      <w:r>
        <w:br w:type="page"/>
      </w:r>
    </w:p>
    <w:p>
      <w:pPr>
        <w:pStyle w:val="Heading1"/>
      </w:pPr>
      <w:r>
        <w:t>Cent jours et garde-fous</w:t>
      </w:r>
      <w:r>
        <w:rPr>
          <w:color w:val="2B6777"/>
          <w:sz w:val="14"/>
          <w:vertAlign w:val="superscript"/>
        </w:rPr>
        <w:t xml:space="preserve"> [S12, S13, S17, S27, S29]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85"/>
        <w:gridCol w:w="3485"/>
        <w:gridCol w:w="3485"/>
      </w:tblGrid>
      <w:tr>
        <w:tc>
          <w:tcPr>
            <w:tcW w:type="dxa" w:w="15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Fenêtre</w:t>
            </w:r>
          </w:p>
        </w:tc>
        <w:tc>
          <w:tcPr>
            <w:tcW w:type="dxa" w:w="28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Livrable</w:t>
            </w:r>
          </w:p>
        </w:tc>
        <w:tc>
          <w:tcPr>
            <w:tcW w:type="dxa" w:w="648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Décision attendue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J1–15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Dossier noyau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Stabiliser le narratif public, la doctrine, le périmètre juridique et les 15 fiches de lacunes.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J16–30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Audit chiffres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Valider les bases 2026, retirer les chiffres non confirmés, séparer fait, estimation, cible et opinion.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J31–45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Prototype dashboard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Construire le tableau de bord 2036 avec statuts d'investissement, KPI, sources et responsables.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J46–60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 data center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Appliquer le registre public à un pilote: énergie, eau, emploi direct, compétences et bénéficiaires effectifs.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J61–75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 forge-éducation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Lancer un district production+formation avec commandes réelles, enseignants coachés et métriques d'insertion.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J76–90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Version gouvernementale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Transformer les résultats en note de décision, plan de ressources, standards de publication et calendrier de Cabinet.</w:t>
            </w:r>
          </w:p>
        </w:tc>
      </w:tr>
      <w:tr>
        <w:trPr>
          <w:cantSplit/>
        </w:trPr>
        <w:tc>
          <w:tcPr>
            <w:tcW w:type="dxa" w:w="1584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J91–100</w:t>
            </w:r>
          </w:p>
        </w:tc>
        <w:tc>
          <w:tcPr>
            <w:tcW w:type="dxa" w:w="28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Go/no-go</w:t>
            </w:r>
          </w:p>
        </w:tc>
        <w:tc>
          <w:tcPr>
            <w:tcW w:type="dxa" w:w="6480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Décider extension limitée, clauses d'arrêt, audits indépendants et publication du premier tableau de bord.</w:t>
            </w:r>
          </w:p>
        </w:tc>
      </w:tr>
    </w:tbl>
    <w:p>
      <w:pPr>
        <w:spacing w:after="40"/>
      </w:pPr>
    </w:p>
    <w:p>
      <w:pPr>
        <w:pStyle w:val="ListBullet"/>
        <w:spacing w:after="40"/>
      </w:pPr>
      <w:r>
        <w:t>Aucune cible sans base 2026 et définition.</w:t>
      </w:r>
    </w:p>
    <w:p>
      <w:pPr>
        <w:pStyle w:val="ListBullet"/>
        <w:spacing w:after="40"/>
      </w:pPr>
      <w:r>
        <w:t>Aucun grand projet sans capacité eau-énergie-compétences-logistique.</w:t>
      </w:r>
    </w:p>
    <w:p>
      <w:pPr>
        <w:pStyle w:val="ListBullet"/>
        <w:spacing w:after="40"/>
      </w:pPr>
      <w:r>
        <w:t>Aucune extension après deux jalons consécutifs manqués.</w:t>
      </w:r>
    </w:p>
    <w:p>
      <w:pPr>
        <w:pStyle w:val="ListBullet"/>
        <w:spacing w:after="40"/>
      </w:pPr>
      <w:r>
        <w:t>Le dividende d'automatisation reste un module exploratoire; le fonds de productivité passe d'abord.</w:t>
      </w:r>
    </w:p>
    <w:p>
      <w:r>
        <w:br w:type="page"/>
      </w:r>
    </w:p>
    <w:p>
      <w:pPr>
        <w:pStyle w:val="Heading1"/>
      </w:pPr>
      <w:r>
        <w:t>Décisions immédiates et sources essentielles</w:t>
      </w:r>
      <w:r>
        <w:rPr>
          <w:color w:val="2B6777"/>
          <w:sz w:val="14"/>
          <w:vertAlign w:val="superscript"/>
        </w:rPr>
        <w:t xml:space="preserve"> [S01, S34]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160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Décision</w:t>
            </w:r>
          </w:p>
        </w:tc>
        <w:tc>
          <w:tcPr>
            <w:tcW w:type="dxa" w:w="8784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Action Cabinet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Delivery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Nommer responsables des six missions; installer revues trimestrielles.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Ledger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Valider le standard annoncé/demande/approuvé/dépensé/construit/opérationnel.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Data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Mandater la classification données et le chiffrement des catégories souveraines.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Pilotes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Autoriser un pilote data center responsable et un pilote Forge+Education.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ASEAN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Porter un compact opt-in de confiance infrastructurelle et numérique.</w:t>
            </w:r>
          </w:p>
        </w:tc>
      </w:tr>
      <w:tr>
        <w:trPr>
          <w:cantSplit/>
        </w:trPr>
        <w:tc>
          <w:tcPr>
            <w:tcW w:type="dxa" w:w="2160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Gate</w:t>
            </w:r>
          </w:p>
        </w:tc>
        <w:tc>
          <w:tcPr>
            <w:tcW w:type="dxa" w:w="8784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Ne partager qu'après scan des termes sensibles, claims démentis et chiffres non confirmés.</w:t>
            </w:r>
          </w:p>
        </w:tc>
      </w:tr>
    </w:tbl>
    <w:p>
      <w:pPr>
        <w:spacing w:after="4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1008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9936"/>
            <w:vAlign w:val="top"/>
            <w:shd w:fill="1F4E5F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/>
                <w:color w:val="FFFFFF"/>
                <w:sz w:val="14"/>
              </w:rPr>
              <w:t>Source essentielle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S01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OCDE — PISA 2022, note pays Thaïlande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S02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Indicateurs pays — Thaïlande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S03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NESDC — Thai Economic Performance in Q4 2025 and Outlook for 2026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S04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Thailand Economic Monitor, février 2026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S05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Bank of Thailand — Economic Outlook, prévisions avril 2026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S06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PDMO — Public Debt Status Summary as of April 30, 2026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S07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Country and Lending Groups, exercice 2026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S08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Aging and the Labor Market in Thailand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S09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OIT — Actuarial valuation of Thailand social security scheme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S10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U.S. International Trade Administration — Thailand — Energy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S11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Thailand Country Climate and Development Report</w:t>
            </w:r>
          </w:p>
        </w:tc>
      </w:tr>
      <w:tr>
        <w:trPr>
          <w:cantSplit/>
        </w:trPr>
        <w:tc>
          <w:tcPr>
            <w:tcW w:type="dxa" w:w="1008"/>
            <w:vAlign w:val="top"/>
            <w:shd w:fill="EAF3F6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S12</w:t>
            </w:r>
          </w:p>
        </w:tc>
        <w:tc>
          <w:tcPr>
            <w:tcW w:type="dxa" w:w="9936"/>
            <w:vAlign w:val="top"/>
          </w:tcPr>
          <w:p>
            <w:pPr>
              <w:pStyle w:val="SmallTable"/>
            </w:pPr>
            <w:r/>
            <w:r>
              <w:rPr>
                <w:rFonts w:ascii="Aptos" w:hAnsi="Aptos" w:eastAsia="Aptos"/>
                <w:b w:val="0"/>
                <w:sz w:val="14"/>
              </w:rPr>
              <w:t>Banque mondiale — Eastern Economic Corridor water balance and resilience analysis</w:t>
            </w:r>
          </w:p>
        </w:tc>
      </w:tr>
    </w:tbl>
    <w:p>
      <w:pPr>
        <w:spacing w:after="40"/>
      </w:pPr>
    </w:p>
    <w:sectPr>
      <w:headerReference w:type="default" r:id="rId9"/>
      <w:footerReference w:type="default" r:id="rId10"/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ourceSmall"/>
      <w:jc w:val="center"/>
    </w:pPr>
    <w:r>
      <w:t>Version publique — 19 juin 2026 — version publique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ourceSmall"/>
    </w:pPr>
    <w:r>
      <w:t>SABAI 2036 — Thailand as ASEAN's Trusted Infrastructure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5" w:lineRule="auto"/>
    </w:pPr>
    <w:rPr>
      <w:rFonts w:ascii="Aptos" w:hAnsi="Aptos" w:eastAsia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0" w:after="8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40" w:after="8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B677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40" w:after="8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2B6777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40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F4E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Table">
    <w:name w:val="SmallTable"/>
    <w:pPr>
      <w:spacing w:after="0" w:line="240" w:lineRule="auto"/>
    </w:pPr>
    <w:rPr>
      <w:rFonts w:ascii="Aptos" w:hAnsi="Aptos"/>
      <w:sz w:val="14"/>
    </w:rPr>
  </w:style>
  <w:style w:type="paragraph" w:customStyle="1" w:styleId="SourceSmall">
    <w:name w:val="SourceSmall"/>
    <w:pPr>
      <w:spacing w:after="0" w:line="240" w:lineRule="auto"/>
    </w:pPr>
    <w:rPr>
      <w:rFonts w:ascii="Aptos" w:hAnsi="Aptos"/>
      <w:color w:val="505050"/>
      <w:sz w:val="1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SABAI 2036 — Thailand as ASEAN's Trusted Infrastructure Hub</dc:title>
  <dc:subject>Version publique</dc:subject>
  <dc:creator/>
  <cp:keywords/>
  <dc:description>Ce document s'appuie sur des recherches vérifiées par audits indépendants et des sources publiques documentées en annexe.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